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0" w:type="pct"/>
        <w:tblCellSpacing w:w="0" w:type="dxa"/>
        <w:tblCellMar>
          <w:left w:w="0" w:type="dxa"/>
          <w:right w:w="0" w:type="dxa"/>
        </w:tblCellMar>
        <w:tblLook w:val="04A0" w:firstRow="1" w:lastRow="0" w:firstColumn="1" w:lastColumn="0" w:noHBand="0" w:noVBand="1"/>
      </w:tblPr>
      <w:tblGrid>
        <w:gridCol w:w="8640"/>
      </w:tblGrid>
      <w:tr w:rsidR="00B02014" w:rsidRPr="00B02014" w:rsidTr="00B02014">
        <w:trPr>
          <w:tblCellSpacing w:w="0" w:type="dxa"/>
        </w:trPr>
        <w:tc>
          <w:tcPr>
            <w:tcW w:w="0" w:type="auto"/>
            <w:hideMark/>
          </w:tcPr>
          <w:tbl>
            <w:tblPr>
              <w:tblW w:w="8788" w:type="dxa"/>
              <w:tblCellSpacing w:w="6" w:type="dxa"/>
              <w:tblCellMar>
                <w:left w:w="0" w:type="dxa"/>
                <w:right w:w="0" w:type="dxa"/>
              </w:tblCellMar>
              <w:tblLook w:val="04A0" w:firstRow="1" w:lastRow="0" w:firstColumn="1" w:lastColumn="0" w:noHBand="0" w:noVBand="1"/>
            </w:tblPr>
            <w:tblGrid>
              <w:gridCol w:w="8640"/>
            </w:tblGrid>
            <w:tr w:rsidR="00B02014" w:rsidRPr="00B02014">
              <w:trPr>
                <w:trHeight w:val="900"/>
                <w:tblCellSpacing w:w="6" w:type="dxa"/>
              </w:trPr>
              <w:tc>
                <w:tcPr>
                  <w:tcW w:w="8760" w:type="dxa"/>
                  <w:tcMar>
                    <w:top w:w="15" w:type="dxa"/>
                    <w:left w:w="15" w:type="dxa"/>
                    <w:bottom w:w="15" w:type="dxa"/>
                    <w:right w:w="15" w:type="dxa"/>
                  </w:tcMar>
                  <w:hideMark/>
                </w:tcPr>
                <w:p w:rsidR="00B02014" w:rsidRPr="00B02014" w:rsidRDefault="00B02014" w:rsidP="00B02014">
                  <w:pPr>
                    <w:spacing w:before="100" w:beforeAutospacing="1" w:after="100" w:afterAutospacing="1"/>
                    <w:rPr>
                      <w:rFonts w:ascii="Verdana" w:hAnsi="Verdana"/>
                    </w:rPr>
                  </w:pPr>
                  <w:r w:rsidRPr="00B02014">
                    <w:rPr>
                      <w:rFonts w:ascii="Verdana" w:hAnsi="Verdana"/>
                      <w:noProof/>
                    </w:rPr>
                    <w:drawing>
                      <wp:inline distT="0" distB="0" distL="0" distR="0" wp14:anchorId="0694670B" wp14:editId="05BC084F">
                        <wp:extent cx="6004560" cy="769620"/>
                        <wp:effectExtent l="0" t="0" r="0" b="0"/>
                        <wp:docPr id="1" name="Picture 1" descr="pictures of toothbrushes and tooth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 of toothbrushes and toothpas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560" cy="769620"/>
                                </a:xfrm>
                                <a:prstGeom prst="rect">
                                  <a:avLst/>
                                </a:prstGeom>
                                <a:noFill/>
                                <a:ln>
                                  <a:noFill/>
                                </a:ln>
                              </pic:spPr>
                            </pic:pic>
                          </a:graphicData>
                        </a:graphic>
                      </wp:inline>
                    </w:drawing>
                  </w:r>
                </w:p>
                <w:p w:rsidR="00B02014" w:rsidRPr="00B02014" w:rsidRDefault="00B02014" w:rsidP="00B02014">
                  <w:pPr>
                    <w:spacing w:before="100" w:beforeAutospacing="1" w:after="100" w:afterAutospacing="1"/>
                    <w:outlineLvl w:val="1"/>
                    <w:rPr>
                      <w:b/>
                      <w:bCs/>
                      <w:sz w:val="36"/>
                      <w:szCs w:val="36"/>
                    </w:rPr>
                  </w:pPr>
                  <w:bookmarkStart w:id="0" w:name="Dental"/>
                  <w:r w:rsidRPr="00B02014">
                    <w:rPr>
                      <w:rFonts w:ascii="Verdana" w:hAnsi="Verdana"/>
                      <w:b/>
                      <w:bCs/>
                      <w:color w:val="000000"/>
                      <w:sz w:val="28"/>
                      <w:szCs w:val="28"/>
                    </w:rPr>
                    <w:t>DENTAL PUBLIC HEALTH PROGRAM</w:t>
                  </w:r>
                  <w:bookmarkEnd w:id="0"/>
                </w:p>
                <w:p w:rsidR="00B02014" w:rsidRPr="00B02014" w:rsidRDefault="00B02014" w:rsidP="00B02014">
                  <w:pPr>
                    <w:spacing w:before="100" w:beforeAutospacing="1" w:after="100" w:afterAutospacing="1"/>
                    <w:outlineLvl w:val="2"/>
                    <w:rPr>
                      <w:b/>
                      <w:bCs/>
                      <w:sz w:val="27"/>
                      <w:szCs w:val="27"/>
                    </w:rPr>
                  </w:pPr>
                  <w:r w:rsidRPr="00B02014">
                    <w:rPr>
                      <w:rFonts w:ascii="Verdana" w:hAnsi="Verdana"/>
                      <w:b/>
                      <w:bCs/>
                      <w:color w:val="000000"/>
                      <w:sz w:val="27"/>
                      <w:szCs w:val="27"/>
                    </w:rPr>
                    <w:t>The Big Picture??</w:t>
                  </w:r>
                </w:p>
                <w:p w:rsidR="00B02014" w:rsidRPr="00B02014" w:rsidRDefault="00B02014" w:rsidP="00B02014">
                  <w:pPr>
                    <w:spacing w:before="100" w:beforeAutospacing="1" w:after="100" w:afterAutospacing="1"/>
                  </w:pPr>
                  <w:r w:rsidRPr="00B02014">
                    <w:rPr>
                      <w:rFonts w:ascii="Verdana" w:hAnsi="Verdana"/>
                      <w:color w:val="000000"/>
                    </w:rPr>
                    <w:t>The public health dental program mission statement:</w:t>
                  </w:r>
                </w:p>
                <w:p w:rsidR="00B02014" w:rsidRPr="00B02014" w:rsidRDefault="00B02014" w:rsidP="00B02014">
                  <w:pPr>
                    <w:spacing w:before="100" w:beforeAutospacing="1" w:after="100" w:afterAutospacing="1"/>
                  </w:pPr>
                  <w:r w:rsidRPr="00B02014">
                    <w:rPr>
                      <w:rFonts w:ascii="Verdana" w:hAnsi="Verdana"/>
                      <w:b/>
                      <w:bCs/>
                      <w:i/>
                      <w:iCs/>
                      <w:color w:val="000000"/>
                    </w:rPr>
                    <w:t>To promote the oral health of Floridians by assuring that community and school-based dental preventive and educational programs are available to all citizens and that access to dental care is available to indigent persons</w:t>
                  </w:r>
                  <w:r w:rsidRPr="00B02014">
                    <w:rPr>
                      <w:rFonts w:ascii="Verdana" w:hAnsi="Verdana"/>
                      <w:color w:val="000000"/>
                    </w:rPr>
                    <w:t>.</w:t>
                  </w:r>
                </w:p>
                <w:p w:rsidR="00B02014" w:rsidRPr="00B02014" w:rsidRDefault="00B02014" w:rsidP="00B02014">
                  <w:pPr>
                    <w:spacing w:before="100" w:beforeAutospacing="1" w:after="100" w:afterAutospacing="1"/>
                  </w:pPr>
                  <w:r w:rsidRPr="00B02014">
                    <w:rPr>
                      <w:rFonts w:ascii="Verdana" w:hAnsi="Verdana"/>
                      <w:b/>
                      <w:bCs/>
                      <w:color w:val="000000"/>
                    </w:rPr>
                    <w:t>About dental disease</w:t>
                  </w:r>
                </w:p>
                <w:p w:rsidR="00B02014" w:rsidRPr="00B02014" w:rsidRDefault="00B02014" w:rsidP="00B02014">
                  <w:pPr>
                    <w:spacing w:before="100" w:beforeAutospacing="1" w:after="100" w:afterAutospacing="1"/>
                  </w:pPr>
                  <w:r w:rsidRPr="00B02014">
                    <w:rPr>
                      <w:rFonts w:ascii="Verdana" w:hAnsi="Verdana"/>
                      <w:color w:val="000000"/>
                    </w:rPr>
                    <w:t>Dental caries (decay) and periodontal diseases are chronic, progressive bacterial infections that afflict almost everyone, affecting the quality of life and consuming considerable health care resources.</w:t>
                  </w:r>
                </w:p>
                <w:p w:rsidR="00B02014" w:rsidRPr="00B02014" w:rsidRDefault="00B02014" w:rsidP="00B02014">
                  <w:pPr>
                    <w:spacing w:before="100" w:beforeAutospacing="1" w:after="100" w:afterAutospacing="1"/>
                  </w:pPr>
                  <w:r w:rsidRPr="00B02014">
                    <w:rPr>
                      <w:rFonts w:ascii="Verdana" w:hAnsi="Verdana"/>
                      <w:color w:val="000000"/>
                    </w:rPr>
                    <w:t>Lack of early diagnostic, preventive and treatment services result in more expensive treatment at a later date as well as unnecessary pain and suffering.</w:t>
                  </w:r>
                </w:p>
                <w:p w:rsidR="00B02014" w:rsidRPr="00B02014" w:rsidRDefault="00B02014" w:rsidP="00B02014">
                  <w:pPr>
                    <w:spacing w:before="100" w:beforeAutospacing="1" w:after="100" w:afterAutospacing="1"/>
                  </w:pPr>
                  <w:r w:rsidRPr="00B02014">
                    <w:rPr>
                      <w:rFonts w:ascii="Verdana" w:hAnsi="Verdana"/>
                      <w:color w:val="000000"/>
                    </w:rPr>
                    <w:t xml:space="preserve">A child experiencing dental problems is at high risk of poor educational </w:t>
                  </w:r>
                  <w:proofErr w:type="gramStart"/>
                  <w:r w:rsidRPr="00B02014">
                    <w:rPr>
                      <w:rFonts w:ascii="Verdana" w:hAnsi="Verdana"/>
                      <w:color w:val="000000"/>
                    </w:rPr>
                    <w:t>outcomes ?</w:t>
                  </w:r>
                  <w:proofErr w:type="gramEnd"/>
                  <w:r w:rsidRPr="00B02014">
                    <w:rPr>
                      <w:rFonts w:ascii="Verdana" w:hAnsi="Verdana"/>
                      <w:color w:val="000000"/>
                    </w:rPr>
                    <w:t xml:space="preserve"> </w:t>
                  </w:r>
                  <w:proofErr w:type="gramStart"/>
                  <w:r w:rsidRPr="00B02014">
                    <w:rPr>
                      <w:rFonts w:ascii="Verdana" w:hAnsi="Verdana"/>
                      <w:color w:val="000000"/>
                    </w:rPr>
                    <w:t>with</w:t>
                  </w:r>
                  <w:proofErr w:type="gramEnd"/>
                  <w:r w:rsidRPr="00B02014">
                    <w:rPr>
                      <w:rFonts w:ascii="Verdana" w:hAnsi="Verdana"/>
                      <w:color w:val="000000"/>
                    </w:rPr>
                    <w:t xml:space="preserve"> missed school days and possible residual effects on speech, nutrition and psychosocial functioning. Minor dental infections in adults can proceed to very serious, life-threatening situations if left untreated.</w:t>
                  </w:r>
                </w:p>
                <w:p w:rsidR="00B02014" w:rsidRPr="00B02014" w:rsidRDefault="00B02014" w:rsidP="00B02014">
                  <w:pPr>
                    <w:spacing w:before="100" w:beforeAutospacing="1" w:after="100" w:afterAutospacing="1"/>
                  </w:pPr>
                  <w:r w:rsidRPr="00B02014">
                    <w:rPr>
                      <w:rFonts w:ascii="Verdana" w:hAnsi="Verdana"/>
                      <w:b/>
                      <w:bCs/>
                      <w:color w:val="000000"/>
                    </w:rPr>
                    <w:t>Oral health facts</w:t>
                  </w:r>
                </w:p>
                <w:p w:rsidR="00B02014" w:rsidRPr="00B02014" w:rsidRDefault="00B02014" w:rsidP="00B02014">
                  <w:pPr>
                    <w:numPr>
                      <w:ilvl w:val="0"/>
                      <w:numId w:val="1"/>
                    </w:numPr>
                    <w:spacing w:before="100" w:beforeAutospacing="1" w:after="100" w:afterAutospacing="1"/>
                    <w:rPr>
                      <w:color w:val="000000"/>
                    </w:rPr>
                  </w:pPr>
                  <w:r w:rsidRPr="00B02014">
                    <w:rPr>
                      <w:rFonts w:ascii="Verdana" w:hAnsi="Verdana"/>
                      <w:color w:val="000000"/>
                    </w:rPr>
                    <w:t xml:space="preserve">50% of children have cavities in their teeth by age 7 </w:t>
                  </w:r>
                </w:p>
                <w:p w:rsidR="00B02014" w:rsidRPr="00B02014" w:rsidRDefault="00B02014" w:rsidP="00B02014">
                  <w:pPr>
                    <w:numPr>
                      <w:ilvl w:val="0"/>
                      <w:numId w:val="1"/>
                    </w:numPr>
                    <w:spacing w:before="100" w:beforeAutospacing="1" w:after="100" w:afterAutospacing="1"/>
                    <w:rPr>
                      <w:color w:val="000000"/>
                    </w:rPr>
                  </w:pPr>
                  <w:r w:rsidRPr="00B02014">
                    <w:rPr>
                      <w:rFonts w:ascii="Verdana" w:hAnsi="Verdana"/>
                      <w:color w:val="000000"/>
                    </w:rPr>
                    <w:t xml:space="preserve">84% of children have had decay in their permanent teeth by age 17 </w:t>
                  </w:r>
                </w:p>
                <w:p w:rsidR="00B02014" w:rsidRPr="00B02014" w:rsidRDefault="00B02014" w:rsidP="00B02014">
                  <w:pPr>
                    <w:numPr>
                      <w:ilvl w:val="0"/>
                      <w:numId w:val="1"/>
                    </w:numPr>
                    <w:spacing w:before="100" w:beforeAutospacing="1" w:after="100" w:afterAutospacing="1"/>
                    <w:rPr>
                      <w:color w:val="000000"/>
                    </w:rPr>
                  </w:pPr>
                  <w:r w:rsidRPr="00B02014">
                    <w:rPr>
                      <w:rFonts w:ascii="Verdana" w:hAnsi="Verdana"/>
                      <w:color w:val="000000"/>
                    </w:rPr>
                    <w:t xml:space="preserve">Only 87% of adults are caries-free </w:t>
                  </w:r>
                </w:p>
                <w:p w:rsidR="00B02014" w:rsidRPr="00B02014" w:rsidRDefault="00B02014" w:rsidP="00B02014">
                  <w:pPr>
                    <w:numPr>
                      <w:ilvl w:val="0"/>
                      <w:numId w:val="1"/>
                    </w:numPr>
                    <w:spacing w:before="100" w:beforeAutospacing="1" w:after="100" w:afterAutospacing="1"/>
                    <w:rPr>
                      <w:color w:val="000000"/>
                    </w:rPr>
                  </w:pPr>
                  <w:r w:rsidRPr="00B02014">
                    <w:rPr>
                      <w:rFonts w:ascii="Verdana" w:hAnsi="Verdana"/>
                      <w:color w:val="000000"/>
                    </w:rPr>
                    <w:t>50% of adults experience periodontal infections</w:t>
                  </w:r>
                  <w:r w:rsidRPr="00B02014">
                    <w:rPr>
                      <w:color w:val="000000"/>
                    </w:rPr>
                    <w:t xml:space="preserve"> </w:t>
                  </w:r>
                </w:p>
                <w:p w:rsidR="00B02014" w:rsidRDefault="00B02014" w:rsidP="00B02014">
                  <w:pPr>
                    <w:spacing w:before="100" w:beforeAutospacing="1" w:after="100" w:afterAutospacing="1"/>
                    <w:rPr>
                      <w:rFonts w:ascii="Verdana" w:hAnsi="Verdana"/>
                      <w:b/>
                      <w:bCs/>
                      <w:color w:val="000000"/>
                    </w:rPr>
                  </w:pPr>
                </w:p>
                <w:p w:rsidR="00B02014" w:rsidRDefault="00B02014" w:rsidP="00B02014">
                  <w:pPr>
                    <w:spacing w:before="100" w:beforeAutospacing="1" w:after="100" w:afterAutospacing="1"/>
                    <w:rPr>
                      <w:rFonts w:ascii="Verdana" w:hAnsi="Verdana"/>
                      <w:b/>
                      <w:bCs/>
                      <w:color w:val="000000"/>
                    </w:rPr>
                  </w:pPr>
                </w:p>
                <w:p w:rsidR="00B02014" w:rsidRDefault="00B02014" w:rsidP="00B02014">
                  <w:pPr>
                    <w:spacing w:before="100" w:beforeAutospacing="1" w:after="100" w:afterAutospacing="1"/>
                    <w:rPr>
                      <w:rFonts w:ascii="Verdana" w:hAnsi="Verdana"/>
                      <w:b/>
                      <w:bCs/>
                      <w:color w:val="000000"/>
                    </w:rPr>
                  </w:pPr>
                  <w:bookmarkStart w:id="1" w:name="_GoBack"/>
                  <w:bookmarkEnd w:id="1"/>
                </w:p>
                <w:p w:rsidR="00B02014" w:rsidRPr="00B02014" w:rsidRDefault="00B02014" w:rsidP="00B02014">
                  <w:pPr>
                    <w:spacing w:before="100" w:beforeAutospacing="1" w:after="100" w:afterAutospacing="1"/>
                  </w:pPr>
                  <w:r w:rsidRPr="00B02014">
                    <w:rPr>
                      <w:rFonts w:ascii="Verdana" w:hAnsi="Verdana"/>
                      <w:b/>
                      <w:bCs/>
                      <w:color w:val="000000"/>
                    </w:rPr>
                    <w:lastRenderedPageBreak/>
                    <w:t>The dentist as an early warning system</w:t>
                  </w:r>
                </w:p>
                <w:p w:rsidR="00B02014" w:rsidRPr="00B02014" w:rsidRDefault="00B02014" w:rsidP="00B02014">
                  <w:pPr>
                    <w:spacing w:before="100" w:beforeAutospacing="1" w:after="100" w:afterAutospacing="1"/>
                  </w:pPr>
                  <w:r w:rsidRPr="00B02014">
                    <w:rPr>
                      <w:rFonts w:ascii="Verdana" w:hAnsi="Verdana"/>
                      <w:color w:val="000000"/>
                    </w:rPr>
                    <w:t>Dentists can often discover more than cavities. Many health problems or diseases have oral signs and symptoms that dentists check for in addition to tooth problems.</w:t>
                  </w:r>
                </w:p>
                <w:p w:rsidR="00B02014" w:rsidRPr="00B02014" w:rsidRDefault="00B02014" w:rsidP="00B02014">
                  <w:pPr>
                    <w:spacing w:before="100" w:beforeAutospacing="1" w:after="100" w:afterAutospacing="1"/>
                  </w:pPr>
                  <w:r w:rsidRPr="00B02014">
                    <w:rPr>
                      <w:rFonts w:ascii="Verdana" w:hAnsi="Verdana"/>
                      <w:color w:val="000000"/>
                    </w:rPr>
                    <w:t>Dentists look for everything from cancer and diabetes to eating disorders. According to the American Dental Association, more than 40 serious illnesses can appear in the mouth and tongue. Some of these include:</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vitamin deficiencies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leukemia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bulimia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infectious mononucleosis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sinusitis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herpes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AIDS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 xml:space="preserve">Hypertension </w:t>
                  </w:r>
                </w:p>
                <w:p w:rsidR="00B02014" w:rsidRPr="00B02014" w:rsidRDefault="00B02014" w:rsidP="00B02014">
                  <w:pPr>
                    <w:numPr>
                      <w:ilvl w:val="0"/>
                      <w:numId w:val="2"/>
                    </w:numPr>
                    <w:spacing w:before="100" w:beforeAutospacing="1" w:after="100" w:afterAutospacing="1"/>
                    <w:rPr>
                      <w:color w:val="000000"/>
                    </w:rPr>
                  </w:pPr>
                  <w:r w:rsidRPr="00B02014">
                    <w:rPr>
                      <w:rFonts w:ascii="Verdana" w:hAnsi="Verdana"/>
                      <w:color w:val="000000"/>
                    </w:rPr>
                    <w:t>Oral cancer</w:t>
                  </w:r>
                  <w:r w:rsidRPr="00B02014">
                    <w:rPr>
                      <w:color w:val="000000"/>
                    </w:rPr>
                    <w:t xml:space="preserve"> </w:t>
                  </w:r>
                </w:p>
                <w:p w:rsidR="00B02014" w:rsidRPr="00B02014" w:rsidRDefault="00B02014" w:rsidP="00B02014">
                  <w:pPr>
                    <w:spacing w:before="100" w:beforeAutospacing="1" w:after="100" w:afterAutospacing="1"/>
                  </w:pPr>
                  <w:r w:rsidRPr="00B02014">
                    <w:rPr>
                      <w:rFonts w:ascii="Verdana" w:hAnsi="Verdana"/>
                      <w:color w:val="000000"/>
                    </w:rPr>
                    <w:t>Regular dental examinations are one of the best ways to maintain healthy teeth and gums, while taking care of the rest of the body, too!</w:t>
                  </w:r>
                </w:p>
                <w:p w:rsidR="00B02014" w:rsidRPr="00B02014" w:rsidRDefault="00B02014" w:rsidP="00B02014">
                  <w:pPr>
                    <w:spacing w:before="100" w:beforeAutospacing="1" w:after="100" w:afterAutospacing="1"/>
                  </w:pPr>
                  <w:r w:rsidRPr="00B02014">
                    <w:rPr>
                      <w:rFonts w:ascii="Verdana" w:hAnsi="Verdana"/>
                      <w:b/>
                      <w:bCs/>
                      <w:color w:val="000000"/>
                    </w:rPr>
                    <w:t>Florida and Jackson County</w:t>
                  </w:r>
                </w:p>
                <w:p w:rsidR="00B02014" w:rsidRPr="00B02014" w:rsidRDefault="00B02014" w:rsidP="00B02014">
                  <w:pPr>
                    <w:spacing w:before="100" w:beforeAutospacing="1" w:after="100" w:afterAutospacing="1"/>
                  </w:pPr>
                  <w:r w:rsidRPr="00B02014">
                    <w:rPr>
                      <w:rFonts w:ascii="Verdana" w:hAnsi="Verdana"/>
                      <w:color w:val="000000"/>
                    </w:rPr>
                    <w:t>Access to dental care for low-income individuals is offered in Florida through 29 of the county health department dental offices that accept Medicaid or offer a sliding fee scale for payment. Additionally, there are 15 community health centers with dental facilities for low-income patients.</w:t>
                  </w:r>
                </w:p>
                <w:p w:rsidR="00B02014" w:rsidRPr="00B02014" w:rsidRDefault="00B02014" w:rsidP="00B02014">
                  <w:pPr>
                    <w:spacing w:before="100" w:beforeAutospacing="1" w:after="100" w:afterAutospacing="1"/>
                  </w:pPr>
                  <w:r w:rsidRPr="00B02014">
                    <w:rPr>
                      <w:rFonts w:ascii="Verdana" w:hAnsi="Verdana"/>
                      <w:color w:val="000000"/>
                    </w:rPr>
                    <w:t xml:space="preserve">The Jackson County Health Department's Dental Program offers a variety of services: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 xml:space="preserve">Dental exams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 xml:space="preserve">X-rays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 xml:space="preserve">Cleaning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 xml:space="preserve">Fluoride Treatments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 xml:space="preserve">Fillings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 xml:space="preserve">Routine root canals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 xml:space="preserve">Routine extraction </w:t>
                  </w:r>
                </w:p>
                <w:p w:rsidR="00B02014" w:rsidRPr="00B02014" w:rsidRDefault="00B02014" w:rsidP="00B02014">
                  <w:pPr>
                    <w:numPr>
                      <w:ilvl w:val="0"/>
                      <w:numId w:val="3"/>
                    </w:numPr>
                    <w:spacing w:before="100" w:beforeAutospacing="1" w:after="100" w:afterAutospacing="1"/>
                    <w:rPr>
                      <w:color w:val="000000"/>
                    </w:rPr>
                  </w:pPr>
                  <w:r w:rsidRPr="00B02014">
                    <w:rPr>
                      <w:rFonts w:ascii="Verdana" w:hAnsi="Verdana"/>
                      <w:color w:val="000000"/>
                    </w:rPr>
                    <w:t>Emergency care (during regular office hours only)</w:t>
                  </w:r>
                  <w:r w:rsidRPr="00B02014">
                    <w:rPr>
                      <w:color w:val="000000"/>
                    </w:rPr>
                    <w:t xml:space="preserve"> </w:t>
                  </w:r>
                </w:p>
                <w:p w:rsidR="00B02014" w:rsidRPr="00B02014" w:rsidRDefault="00B02014" w:rsidP="00B02014">
                  <w:pPr>
                    <w:spacing w:before="100" w:beforeAutospacing="1" w:after="100" w:afterAutospacing="1"/>
                  </w:pPr>
                </w:p>
              </w:tc>
            </w:tr>
          </w:tbl>
          <w:p w:rsidR="00B02014" w:rsidRPr="00B02014" w:rsidRDefault="00B02014" w:rsidP="00B02014">
            <w:pPr>
              <w:spacing w:before="100" w:beforeAutospacing="1" w:after="100" w:afterAutospacing="1"/>
            </w:pPr>
          </w:p>
        </w:tc>
      </w:tr>
    </w:tbl>
    <w:p w:rsidR="00C2047F" w:rsidRDefault="00C2047F"/>
    <w:sectPr w:rsidR="00C2047F" w:rsidSect="002F1743">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643"/>
    <w:multiLevelType w:val="multilevel"/>
    <w:tmpl w:val="31C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BC5826"/>
    <w:multiLevelType w:val="multilevel"/>
    <w:tmpl w:val="BFEE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C76B06"/>
    <w:multiLevelType w:val="multilevel"/>
    <w:tmpl w:val="159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14"/>
    <w:rsid w:val="0026134F"/>
    <w:rsid w:val="002F1743"/>
    <w:rsid w:val="00496085"/>
    <w:rsid w:val="005246D1"/>
    <w:rsid w:val="00560AB0"/>
    <w:rsid w:val="00643A6B"/>
    <w:rsid w:val="006E2098"/>
    <w:rsid w:val="00891D7A"/>
    <w:rsid w:val="008A1DC2"/>
    <w:rsid w:val="00995499"/>
    <w:rsid w:val="00B02014"/>
    <w:rsid w:val="00B44572"/>
    <w:rsid w:val="00B47FD4"/>
    <w:rsid w:val="00C2047F"/>
    <w:rsid w:val="00D3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2014"/>
    <w:rPr>
      <w:rFonts w:ascii="Tahoma" w:hAnsi="Tahoma" w:cs="Tahoma"/>
      <w:sz w:val="16"/>
      <w:szCs w:val="16"/>
    </w:rPr>
  </w:style>
  <w:style w:type="character" w:customStyle="1" w:styleId="BalloonTextChar">
    <w:name w:val="Balloon Text Char"/>
    <w:basedOn w:val="DefaultParagraphFont"/>
    <w:link w:val="BalloonText"/>
    <w:rsid w:val="00B02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2014"/>
    <w:rPr>
      <w:rFonts w:ascii="Tahoma" w:hAnsi="Tahoma" w:cs="Tahoma"/>
      <w:sz w:val="16"/>
      <w:szCs w:val="16"/>
    </w:rPr>
  </w:style>
  <w:style w:type="character" w:customStyle="1" w:styleId="BalloonTextChar">
    <w:name w:val="Balloon Text Char"/>
    <w:basedOn w:val="DefaultParagraphFont"/>
    <w:link w:val="BalloonText"/>
    <w:rsid w:val="00B02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Eileen J</dc:creator>
  <cp:lastModifiedBy>Aristizabal, Eileen J</cp:lastModifiedBy>
  <cp:revision>2</cp:revision>
  <dcterms:created xsi:type="dcterms:W3CDTF">2014-09-25T15:35:00Z</dcterms:created>
  <dcterms:modified xsi:type="dcterms:W3CDTF">2014-09-25T15:40:00Z</dcterms:modified>
</cp:coreProperties>
</file>